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bookmarkStart w:id="0" w:name="_GoBack"/>
      <w:bookmarkEnd w:id="0"/>
      <w:r>
        <w:rPr>
          <w:b/>
          <w:sz w:val="26"/>
          <w:u w:val="single"/>
        </w:rPr>
        <w:t xml:space="preserve">A J Á N L A T K É R É </w:t>
      </w:r>
      <w:r w:rsidR="00A65BE9">
        <w:rPr>
          <w:b/>
          <w:sz w:val="26"/>
          <w:u w:val="single"/>
        </w:rPr>
        <w:t>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Pr="00B90CF6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trike/>
          <w:sz w:val="26"/>
        </w:rPr>
      </w:pPr>
    </w:p>
    <w:p w:rsidR="00F1604F" w:rsidRDefault="00B90CF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Tiszaújváros Város Önkormányzata</w:t>
      </w:r>
      <w:r w:rsidR="00F1604F" w:rsidRPr="00C271E6">
        <w:rPr>
          <w:sz w:val="26"/>
        </w:rPr>
        <w:t xml:space="preserve"> </w:t>
      </w:r>
      <w:r w:rsidR="00F1604F">
        <w:rPr>
          <w:sz w:val="26"/>
        </w:rPr>
        <w:t xml:space="preserve">(3580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7.,</w:t>
      </w:r>
      <w:r w:rsidR="00F1604F">
        <w:rPr>
          <w:sz w:val="26"/>
        </w:rPr>
        <w:t xml:space="preserve"> a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Önkormányzati ASP csatlakozással kapcsolatos szakértői tevékenységek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B90CF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Tiszaújváros Város Önkormányzata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Polgármesteri Hivatal  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871E3E" w:rsidRDefault="00995E6F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548 001</w:t>
      </w:r>
    </w:p>
    <w:p w:rsidR="00995E6F" w:rsidRDefault="00995E6F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871E3E">
        <w:rPr>
          <w:sz w:val="26"/>
        </w:rPr>
        <w:t>Kiss Csaba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871E3E">
        <w:rPr>
          <w:sz w:val="26"/>
        </w:rPr>
        <w:t>5</w:t>
      </w:r>
      <w:r w:rsidR="00995E6F">
        <w:rPr>
          <w:sz w:val="26"/>
        </w:rPr>
        <w:t>4</w:t>
      </w:r>
      <w:r w:rsidR="00871E3E">
        <w:rPr>
          <w:sz w:val="26"/>
        </w:rPr>
        <w:t>8 055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871E3E">
        <w:rPr>
          <w:sz w:val="26"/>
        </w:rPr>
        <w:t>548 054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871E3E">
        <w:rPr>
          <w:sz w:val="26"/>
        </w:rPr>
        <w:t xml:space="preserve">kisscsaba@tujvaros.hu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B90CF6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 w:rsidRPr="00C271E6">
        <w:rPr>
          <w:i/>
          <w:sz w:val="26"/>
        </w:rPr>
        <w:t>A KÖFOP-1.2.1-VEKOP-16 kódszámú</w:t>
      </w:r>
      <w:r w:rsidRPr="00C271E6">
        <w:rPr>
          <w:b/>
          <w:i/>
          <w:sz w:val="26"/>
        </w:rPr>
        <w:t xml:space="preserve"> </w:t>
      </w:r>
      <w:r w:rsidR="002950F1" w:rsidRPr="00C271E6">
        <w:rPr>
          <w:i/>
          <w:sz w:val="26"/>
          <w:szCs w:val="26"/>
        </w:rPr>
        <w:t>„</w:t>
      </w:r>
      <w:r w:rsidR="002950F1"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="002950F1"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="002950F1"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="002950F1" w:rsidRPr="00C271E6">
        <w:rPr>
          <w:rFonts w:eastAsia="Calibri"/>
          <w:bCs/>
          <w:sz w:val="26"/>
          <w:szCs w:val="26"/>
        </w:rPr>
        <w:t xml:space="preserve"> </w:t>
      </w:r>
      <w:r w:rsidRPr="00C271E6">
        <w:rPr>
          <w:i/>
          <w:sz w:val="26"/>
          <w:szCs w:val="26"/>
        </w:rPr>
        <w:t>p</w:t>
      </w:r>
      <w:r w:rsidRPr="00C271E6">
        <w:rPr>
          <w:i/>
          <w:sz w:val="26"/>
        </w:rPr>
        <w:t>ályázathoz az</w:t>
      </w:r>
      <w:r w:rsidRPr="00C271E6">
        <w:rPr>
          <w:b/>
          <w:i/>
          <w:sz w:val="26"/>
        </w:rPr>
        <w:t xml:space="preserve"> </w:t>
      </w:r>
      <w:r w:rsidR="00871E3E">
        <w:rPr>
          <w:b/>
          <w:i/>
          <w:sz w:val="26"/>
        </w:rPr>
        <w:t>Önkormányzati ASP csatlakozással kapcsolatos szakértői tevékenységek elvégzése.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Műszaki dokumentáció jelen ajánlatkéréshez nem tartozik, az ajánlatkérésben az elvégzendő feladat</w:t>
      </w:r>
      <w:r w:rsidR="00B90CF6" w:rsidRPr="00C271E6">
        <w:rPr>
          <w:sz w:val="26"/>
          <w:szCs w:val="26"/>
        </w:rPr>
        <w:t>ok</w:t>
      </w:r>
      <w:r>
        <w:rPr>
          <w:sz w:val="26"/>
          <w:szCs w:val="26"/>
        </w:rPr>
        <w:t xml:space="preserve"> leírása, továbbá az ajánlattevő által kitöltendő nyilatkozatok szerepelnek.</w:t>
      </w:r>
    </w:p>
    <w:p w:rsidR="00995E6F" w:rsidRDefault="00995E6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Vállalkozási szerződés </w:t>
      </w:r>
      <w:r w:rsidR="002950F1">
        <w:rPr>
          <w:sz w:val="26"/>
        </w:rPr>
        <w:t>a</w:t>
      </w:r>
      <w:r w:rsidR="002950F1" w:rsidRPr="002950F1">
        <w:rPr>
          <w:i/>
          <w:color w:val="FF0000"/>
          <w:sz w:val="26"/>
        </w:rPr>
        <w:t xml:space="preserve"> </w:t>
      </w:r>
      <w:r w:rsidR="002950F1" w:rsidRPr="00C271E6">
        <w:rPr>
          <w:i/>
          <w:sz w:val="26"/>
        </w:rPr>
        <w:t>KÖFOP-1.2.1-VEKOP-16 kódszámú</w:t>
      </w:r>
      <w:r w:rsidR="002950F1" w:rsidRPr="00C271E6">
        <w:rPr>
          <w:b/>
          <w:i/>
          <w:sz w:val="26"/>
        </w:rPr>
        <w:t xml:space="preserve"> </w:t>
      </w:r>
      <w:r w:rsidR="002950F1" w:rsidRPr="00C271E6">
        <w:rPr>
          <w:i/>
          <w:sz w:val="26"/>
          <w:szCs w:val="26"/>
        </w:rPr>
        <w:t>„</w:t>
      </w:r>
      <w:r w:rsidR="002950F1"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="002950F1"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="002950F1"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="002950F1" w:rsidRPr="00C271E6">
        <w:rPr>
          <w:rFonts w:eastAsia="Calibri"/>
          <w:bCs/>
          <w:sz w:val="26"/>
          <w:szCs w:val="26"/>
        </w:rPr>
        <w:t xml:space="preserve"> </w:t>
      </w:r>
      <w:r w:rsidR="002950F1" w:rsidRPr="00C271E6">
        <w:rPr>
          <w:i/>
          <w:sz w:val="26"/>
          <w:szCs w:val="26"/>
        </w:rPr>
        <w:t>p</w:t>
      </w:r>
      <w:r w:rsidR="002950F1" w:rsidRPr="00C271E6">
        <w:rPr>
          <w:i/>
          <w:sz w:val="26"/>
        </w:rPr>
        <w:t>ályázathoz az</w:t>
      </w:r>
      <w:r w:rsidR="002950F1" w:rsidRPr="00011EEA">
        <w:rPr>
          <w:b/>
          <w:i/>
          <w:color w:val="FF00FF"/>
          <w:sz w:val="26"/>
        </w:rPr>
        <w:t xml:space="preserve"> </w:t>
      </w:r>
      <w:r>
        <w:rPr>
          <w:b/>
          <w:i/>
          <w:sz w:val="26"/>
        </w:rPr>
        <w:t xml:space="preserve">Önkormányzati ASP csatlakozással kapcsolatos szakértői tevékenységek </w:t>
      </w:r>
      <w:r w:rsidR="00F1604F">
        <w:rPr>
          <w:sz w:val="26"/>
        </w:rPr>
        <w:t>tárgyában.</w:t>
      </w:r>
    </w:p>
    <w:p w:rsidR="00871E3E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2009E5" w:rsidRPr="00C271E6" w:rsidRDefault="002009E5" w:rsidP="002009E5">
      <w:pPr>
        <w:pStyle w:val="Szvegtrzsbehzssal2"/>
        <w:spacing w:line="276" w:lineRule="auto"/>
        <w:ind w:left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C271E6">
        <w:rPr>
          <w:rFonts w:ascii="Times New Roman" w:eastAsia="Calibri" w:hAnsi="Times New Roman"/>
          <w:bCs/>
          <w:sz w:val="26"/>
          <w:szCs w:val="26"/>
        </w:rPr>
        <w:t>Teljesítés határideje: a projekt fizikai befejezése, összhangban az ASP Korm. rendelettel, legkésőbb: 2018.</w:t>
      </w:r>
      <w:r w:rsidR="00995E6F">
        <w:rPr>
          <w:rFonts w:ascii="Times New Roman" w:eastAsia="Calibri" w:hAnsi="Times New Roman"/>
          <w:bCs/>
          <w:sz w:val="26"/>
          <w:szCs w:val="26"/>
        </w:rPr>
        <w:t xml:space="preserve"> június </w:t>
      </w:r>
      <w:r w:rsidRPr="00C271E6">
        <w:rPr>
          <w:rFonts w:ascii="Times New Roman" w:eastAsia="Calibri" w:hAnsi="Times New Roman"/>
          <w:bCs/>
          <w:sz w:val="26"/>
          <w:szCs w:val="26"/>
        </w:rPr>
        <w:t>30.  A projekt fizikai befejezése az ASP központtól</w:t>
      </w:r>
      <w:r w:rsidR="00995E6F">
        <w:rPr>
          <w:rFonts w:ascii="Times New Roman" w:eastAsia="Calibri" w:hAnsi="Times New Roman"/>
          <w:bCs/>
          <w:sz w:val="26"/>
          <w:szCs w:val="26"/>
        </w:rPr>
        <w:t>,</w:t>
      </w:r>
      <w:r w:rsidRPr="00C271E6">
        <w:rPr>
          <w:rFonts w:ascii="Times New Roman" w:eastAsia="Calibri" w:hAnsi="Times New Roman"/>
          <w:bCs/>
          <w:sz w:val="26"/>
          <w:szCs w:val="26"/>
        </w:rPr>
        <w:t xml:space="preserve"> ill. a szakrendszerek tényleges csatlakozási idejétől függ.</w:t>
      </w:r>
    </w:p>
    <w:p w:rsidR="00F1604F" w:rsidRPr="00566B09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566B09">
        <w:rPr>
          <w:sz w:val="26"/>
        </w:rPr>
        <w:t>Az ajánlatkérő a teljesítési határidőhöz képest előteljesítést elfogad.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</w:t>
      </w:r>
      <w:r>
        <w:rPr>
          <w:sz w:val="26"/>
          <w:szCs w:val="26"/>
        </w:rPr>
        <w:lastRenderedPageBreak/>
        <w:t>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1E3E">
        <w:rPr>
          <w:sz w:val="26"/>
        </w:rPr>
        <w:t>7</w:t>
      </w:r>
      <w:r w:rsidR="00995E6F">
        <w:rPr>
          <w:sz w:val="26"/>
        </w:rPr>
        <w:t>.</w:t>
      </w:r>
      <w:r w:rsidR="00871E3E">
        <w:rPr>
          <w:sz w:val="26"/>
        </w:rPr>
        <w:t xml:space="preserve"> </w:t>
      </w:r>
      <w:r w:rsidR="00BA2682">
        <w:rPr>
          <w:sz w:val="26"/>
        </w:rPr>
        <w:t>augusztus</w:t>
      </w:r>
      <w:r>
        <w:rPr>
          <w:sz w:val="26"/>
        </w:rPr>
        <w:t xml:space="preserve"> </w:t>
      </w:r>
      <w:r w:rsidR="00995E6F">
        <w:rPr>
          <w:sz w:val="26"/>
        </w:rPr>
        <w:t>8</w:t>
      </w:r>
      <w:proofErr w:type="gramStart"/>
      <w:r w:rsidR="00995E6F">
        <w:rPr>
          <w:sz w:val="26"/>
        </w:rPr>
        <w:t>.,</w:t>
      </w:r>
      <w:proofErr w:type="gramEnd"/>
      <w:r w:rsidR="00995E6F">
        <w:rPr>
          <w:sz w:val="26"/>
        </w:rPr>
        <w:t xml:space="preserve"> 9</w:t>
      </w:r>
      <w:r w:rsidR="00995E6F" w:rsidRPr="00995E6F">
        <w:rPr>
          <w:sz w:val="26"/>
          <w:u w:val="single"/>
          <w:vertAlign w:val="superscript"/>
        </w:rPr>
        <w:t>00</w:t>
      </w:r>
      <w:r w:rsidR="00995E6F">
        <w:rPr>
          <w:sz w:val="26"/>
        </w:rPr>
        <w:t xml:space="preserve"> óra</w:t>
      </w:r>
      <w:r>
        <w:rPr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II. emelet, 211. szoba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871E3E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871E3E">
        <w:rPr>
          <w:sz w:val="26"/>
        </w:rPr>
        <w:t>12</w:t>
      </w:r>
      <w:r>
        <w:rPr>
          <w:sz w:val="26"/>
        </w:rPr>
        <w:t xml:space="preserve"> óra között, az ajánlattételi határidő lejártának napján 8 és </w:t>
      </w:r>
      <w:r w:rsidR="00871E3E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1604F" w:rsidRDefault="002009E5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C271E6">
        <w:rPr>
          <w:i/>
          <w:sz w:val="26"/>
        </w:rPr>
        <w:t>KÖFOP-1.2.1-VEKOP-16 kódszámú</w:t>
      </w:r>
      <w:r w:rsidRPr="00C271E6">
        <w:rPr>
          <w:b/>
          <w:i/>
          <w:sz w:val="26"/>
        </w:rPr>
        <w:t xml:space="preserve"> </w:t>
      </w:r>
      <w:r w:rsidRPr="00C271E6">
        <w:rPr>
          <w:i/>
          <w:sz w:val="26"/>
          <w:szCs w:val="26"/>
        </w:rPr>
        <w:t>„</w:t>
      </w:r>
      <w:r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Pr="00C271E6">
        <w:rPr>
          <w:rFonts w:eastAsia="Calibri"/>
          <w:bCs/>
          <w:sz w:val="26"/>
          <w:szCs w:val="26"/>
        </w:rPr>
        <w:t xml:space="preserve"> </w:t>
      </w:r>
      <w:r w:rsidRPr="00C271E6">
        <w:rPr>
          <w:i/>
          <w:sz w:val="26"/>
          <w:szCs w:val="26"/>
        </w:rPr>
        <w:t>p</w:t>
      </w:r>
      <w:r w:rsidRPr="00C271E6">
        <w:rPr>
          <w:i/>
          <w:sz w:val="26"/>
        </w:rPr>
        <w:t>ályázathoz az</w:t>
      </w:r>
      <w:r w:rsidRPr="00C271E6">
        <w:rPr>
          <w:b/>
          <w:i/>
          <w:sz w:val="26"/>
        </w:rPr>
        <w:t xml:space="preserve"> </w:t>
      </w:r>
      <w:r w:rsidR="00871E3E">
        <w:rPr>
          <w:b/>
          <w:i/>
          <w:sz w:val="26"/>
        </w:rPr>
        <w:t>Önkormányzati ASP csatlakozással ka</w:t>
      </w:r>
      <w:r w:rsidR="00995E6F">
        <w:rPr>
          <w:b/>
          <w:i/>
          <w:sz w:val="26"/>
        </w:rPr>
        <w:t>pcsolatos szakértői tevékenység</w:t>
      </w:r>
      <w:r w:rsidR="00871E3E">
        <w:rPr>
          <w:b/>
          <w:i/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ind w:left="720" w:firstLine="22"/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(201</w:t>
      </w:r>
      <w:r w:rsidR="00871E3E">
        <w:rPr>
          <w:sz w:val="26"/>
        </w:rPr>
        <w:t>7</w:t>
      </w:r>
      <w:r w:rsidR="00BA2682">
        <w:rPr>
          <w:sz w:val="26"/>
        </w:rPr>
        <w:t>. augusztus</w:t>
      </w:r>
      <w:r w:rsidR="00995E6F">
        <w:rPr>
          <w:sz w:val="26"/>
        </w:rPr>
        <w:t xml:space="preserve"> </w:t>
      </w:r>
      <w:r w:rsidR="00BA2682">
        <w:rPr>
          <w:sz w:val="26"/>
        </w:rPr>
        <w:t>8</w:t>
      </w:r>
      <w:proofErr w:type="gramStart"/>
      <w:r w:rsidR="00995E6F">
        <w:rPr>
          <w:sz w:val="26"/>
        </w:rPr>
        <w:t>.,</w:t>
      </w:r>
      <w:proofErr w:type="gramEnd"/>
      <w:r w:rsidR="00871E3E">
        <w:rPr>
          <w:sz w:val="26"/>
        </w:rPr>
        <w:t xml:space="preserve"> 9</w:t>
      </w:r>
      <w:r w:rsidR="00995E6F" w:rsidRPr="00995E6F">
        <w:rPr>
          <w:sz w:val="26"/>
          <w:u w:val="single"/>
          <w:vertAlign w:val="superscript"/>
        </w:rPr>
        <w:t>00</w:t>
      </w:r>
      <w:r>
        <w:rPr>
          <w:sz w:val="26"/>
        </w:rPr>
        <w:t xml:space="preserve"> óra) </w:t>
      </w:r>
      <w:r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211. szoba, Kiss Csaba informatikai munkatársnál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Dátum: 201</w:t>
      </w:r>
      <w:r w:rsidR="00871E3E" w:rsidRPr="00C271E6">
        <w:rPr>
          <w:sz w:val="26"/>
        </w:rPr>
        <w:t>7</w:t>
      </w:r>
      <w:r w:rsidRPr="00C271E6">
        <w:rPr>
          <w:sz w:val="26"/>
        </w:rPr>
        <w:t>.</w:t>
      </w:r>
      <w:r w:rsidR="005E1D04" w:rsidRPr="00C271E6">
        <w:rPr>
          <w:sz w:val="26"/>
        </w:rPr>
        <w:t xml:space="preserve"> augusztus</w:t>
      </w:r>
      <w:r w:rsidRPr="00C271E6">
        <w:rPr>
          <w:sz w:val="26"/>
        </w:rPr>
        <w:t xml:space="preserve"> </w:t>
      </w:r>
      <w:r w:rsidR="005E1D04" w:rsidRPr="00C271E6">
        <w:rPr>
          <w:sz w:val="26"/>
        </w:rPr>
        <w:t>8</w:t>
      </w:r>
      <w:proofErr w:type="gramStart"/>
      <w:r w:rsidR="005E1D04" w:rsidRPr="00C271E6">
        <w:rPr>
          <w:sz w:val="26"/>
        </w:rPr>
        <w:t>.</w:t>
      </w:r>
      <w:r w:rsidR="00995E6F">
        <w:rPr>
          <w:sz w:val="26"/>
        </w:rPr>
        <w:t>,</w:t>
      </w:r>
      <w:proofErr w:type="gramEnd"/>
      <w:r w:rsidR="00871E3E" w:rsidRPr="00C271E6">
        <w:rPr>
          <w:sz w:val="26"/>
        </w:rPr>
        <w:t xml:space="preserve"> 9</w:t>
      </w:r>
      <w:r w:rsidR="00995E6F" w:rsidRPr="00995E6F">
        <w:rPr>
          <w:sz w:val="26"/>
          <w:u w:val="single"/>
          <w:vertAlign w:val="superscript"/>
        </w:rPr>
        <w:t>00</w:t>
      </w:r>
      <w:r w:rsidR="00871E3E" w:rsidRPr="00C271E6">
        <w:rPr>
          <w:sz w:val="26"/>
        </w:rPr>
        <w:t xml:space="preserve"> </w:t>
      </w:r>
      <w:r w:rsidRPr="00C271E6">
        <w:rPr>
          <w:sz w:val="26"/>
        </w:rPr>
        <w:t xml:space="preserve">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1E3E">
        <w:rPr>
          <w:sz w:val="26"/>
        </w:rPr>
        <w:t xml:space="preserve">7. </w:t>
      </w:r>
      <w:r w:rsidR="00BA2682">
        <w:rPr>
          <w:sz w:val="26"/>
        </w:rPr>
        <w:t>augusztus</w:t>
      </w:r>
      <w:r w:rsidR="00995E6F">
        <w:rPr>
          <w:sz w:val="26"/>
        </w:rPr>
        <w:t xml:space="preserve"> </w:t>
      </w:r>
      <w:r w:rsidR="005E1D04" w:rsidRPr="00C271E6">
        <w:rPr>
          <w:sz w:val="26"/>
        </w:rPr>
        <w:t>11.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E1D04" w:rsidRPr="00C271E6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C271E6">
        <w:rPr>
          <w:b/>
          <w:sz w:val="26"/>
        </w:rPr>
        <w:t xml:space="preserve">12. Bírálati szempontok: </w:t>
      </w:r>
    </w:p>
    <w:p w:rsidR="00995E6F" w:rsidRDefault="00995E6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34575" w:rsidRPr="00F34575" w:rsidRDefault="00F34575" w:rsidP="00F34575">
      <w:pPr>
        <w:jc w:val="both"/>
        <w:rPr>
          <w:sz w:val="26"/>
          <w:szCs w:val="26"/>
        </w:rPr>
      </w:pPr>
      <w:r w:rsidRPr="00F34575">
        <w:rPr>
          <w:sz w:val="26"/>
          <w:szCs w:val="26"/>
        </w:rPr>
        <w:lastRenderedPageBreak/>
        <w:t>Ajánlatkérő a legjobb ár-érték arányt megjelenítő szempontok szerint értékeli az ajánlatokat.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Az értékelési részszempontok a következők: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tbl>
      <w:tblPr>
        <w:tblW w:w="8235" w:type="dxa"/>
        <w:jc w:val="center"/>
        <w:tblLayout w:type="fixed"/>
        <w:tblLook w:val="04A0" w:firstRow="1" w:lastRow="0" w:firstColumn="1" w:lastColumn="0" w:noHBand="0" w:noVBand="1"/>
      </w:tblPr>
      <w:tblGrid>
        <w:gridCol w:w="6935"/>
        <w:gridCol w:w="1300"/>
      </w:tblGrid>
      <w:tr w:rsidR="00F34575" w:rsidRPr="00F34575" w:rsidTr="00337160">
        <w:trPr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rPr>
                <w:b/>
                <w:kern w:val="2"/>
                <w:sz w:val="26"/>
                <w:szCs w:val="26"/>
              </w:rPr>
            </w:pPr>
            <w:r w:rsidRPr="00F34575">
              <w:rPr>
                <w:b/>
                <w:kern w:val="2"/>
                <w:sz w:val="26"/>
                <w:szCs w:val="26"/>
              </w:rPr>
              <w:t>Részszempont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rPr>
                <w:b/>
                <w:kern w:val="2"/>
                <w:sz w:val="26"/>
                <w:szCs w:val="26"/>
              </w:rPr>
            </w:pPr>
            <w:r w:rsidRPr="00F34575">
              <w:rPr>
                <w:b/>
                <w:kern w:val="2"/>
                <w:sz w:val="26"/>
                <w:szCs w:val="26"/>
              </w:rPr>
              <w:t>Súlyszám</w:t>
            </w:r>
          </w:p>
        </w:tc>
      </w:tr>
      <w:tr w:rsidR="00F34575" w:rsidRPr="00F34575" w:rsidTr="00337160">
        <w:trPr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 w:rsidRPr="00F34575">
              <w:rPr>
                <w:kern w:val="2"/>
                <w:sz w:val="26"/>
                <w:szCs w:val="26"/>
              </w:rPr>
              <w:t>1. Ajánlati ár (nettó HUF)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</w:t>
            </w:r>
            <w:r w:rsidRPr="00F34575">
              <w:rPr>
                <w:kern w:val="2"/>
                <w:sz w:val="26"/>
                <w:szCs w:val="26"/>
              </w:rPr>
              <w:t>0</w:t>
            </w:r>
          </w:p>
        </w:tc>
      </w:tr>
      <w:tr w:rsidR="00F34575" w:rsidRPr="00F34575" w:rsidTr="00337160">
        <w:trPr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75" w:rsidRPr="00F34575" w:rsidRDefault="00F34575" w:rsidP="00F3457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 w:rsidRPr="00F34575">
              <w:rPr>
                <w:kern w:val="2"/>
                <w:sz w:val="26"/>
                <w:szCs w:val="26"/>
              </w:rPr>
              <w:t xml:space="preserve">2. </w:t>
            </w:r>
            <w:r>
              <w:rPr>
                <w:kern w:val="2"/>
                <w:sz w:val="26"/>
                <w:szCs w:val="26"/>
              </w:rPr>
              <w:t>Referencia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  <w:r w:rsidRPr="00F34575">
              <w:rPr>
                <w:kern w:val="2"/>
                <w:sz w:val="26"/>
                <w:szCs w:val="26"/>
              </w:rPr>
              <w:t>0</w:t>
            </w:r>
          </w:p>
        </w:tc>
      </w:tr>
    </w:tbl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Az ajánlatok részszempontok szerinti tartalmi elemeinek értékelésekor adható pontszám alsó és felső határa: </w:t>
      </w:r>
      <w:r w:rsidRPr="00F34575">
        <w:rPr>
          <w:b/>
          <w:kern w:val="2"/>
          <w:sz w:val="26"/>
          <w:szCs w:val="26"/>
        </w:rPr>
        <w:t>1-10</w:t>
      </w:r>
      <w:r w:rsidRPr="00F34575">
        <w:rPr>
          <w:kern w:val="2"/>
          <w:sz w:val="26"/>
          <w:szCs w:val="26"/>
        </w:rPr>
        <w:t>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  <w:u w:val="single"/>
        </w:rPr>
        <w:t>Az értékelés módszere: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Az értékelés minden részszempont esetén lineáris arányosítással történik.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 pontszámok megadása akként történik, hogy az egyes részszempontok értékelésekor a legkedvezőbb ajánlat kapja a maximális pontszámot (10), a legkedvezőtlenebb a minimális pontszámot (1).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Ajánlatkérő számára az 1. részszempont esetén a kisebb, a 2. részszempont esetén a nagyobb értékű vállalás a kedvezőbb.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Lineáris arányosítás esetén amennyiben a legjobb és a legrosszabb ajánlati elem azonos értékű – azaz mindegyik ajánlati érték azonos – mindegyik ajánlat maximális pontszámot kap az adott részszempont értékelésekor.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Az egyes részszempontokra adott pontszámok ezt követően az adott részszemponthoz tartozó súlyszámmal felszorzásra, majd valamennyi részszempontra kiterjedően összeadásra kerülnek. Az ajánlatonként így összegzett pontszámok kerülnek összevetésre. Törtek esetén az Ajánlatkérő a pontszámokat két </w:t>
      </w:r>
      <w:proofErr w:type="spellStart"/>
      <w:r w:rsidRPr="00F34575">
        <w:rPr>
          <w:kern w:val="2"/>
          <w:sz w:val="26"/>
          <w:szCs w:val="26"/>
        </w:rPr>
        <w:t>tizedesjegyre</w:t>
      </w:r>
      <w:proofErr w:type="spellEnd"/>
      <w:r w:rsidRPr="00F34575">
        <w:rPr>
          <w:kern w:val="2"/>
          <w:sz w:val="26"/>
          <w:szCs w:val="26"/>
        </w:rPr>
        <w:t xml:space="preserve"> kerekíti.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Pontozási módszer: </w:t>
      </w:r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      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vizsgált</w:t>
      </w:r>
      <w:proofErr w:type="spellEnd"/>
      <w:r w:rsidRPr="00F34575">
        <w:rPr>
          <w:kern w:val="2"/>
          <w:sz w:val="26"/>
          <w:szCs w:val="26"/>
          <w:vertAlign w:val="subscript"/>
        </w:rPr>
        <w:t xml:space="preserve"> </w:t>
      </w:r>
      <w:r w:rsidRPr="00F34575">
        <w:rPr>
          <w:kern w:val="2"/>
          <w:sz w:val="26"/>
          <w:szCs w:val="26"/>
        </w:rPr>
        <w:t xml:space="preserve">–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legrosszabb</w:t>
      </w:r>
      <w:proofErr w:type="spellEnd"/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  <w:vertAlign w:val="subscript"/>
        </w:rPr>
      </w:pPr>
      <w:r w:rsidRPr="00F34575">
        <w:rPr>
          <w:kern w:val="2"/>
          <w:sz w:val="26"/>
          <w:szCs w:val="26"/>
        </w:rPr>
        <w:t>P = ----------------------- * (</w:t>
      </w: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max</w:t>
      </w:r>
      <w:proofErr w:type="spellEnd"/>
      <w:r w:rsidRPr="00F34575">
        <w:rPr>
          <w:kern w:val="2"/>
          <w:sz w:val="26"/>
          <w:szCs w:val="26"/>
        </w:rPr>
        <w:t xml:space="preserve"> – </w:t>
      </w: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min</w:t>
      </w:r>
      <w:proofErr w:type="spellEnd"/>
      <w:r w:rsidRPr="00F34575">
        <w:rPr>
          <w:kern w:val="2"/>
          <w:sz w:val="26"/>
          <w:szCs w:val="26"/>
        </w:rPr>
        <w:t xml:space="preserve">) + </w:t>
      </w: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min</w:t>
      </w:r>
      <w:proofErr w:type="spellEnd"/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      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legjobb</w:t>
      </w:r>
      <w:proofErr w:type="spellEnd"/>
      <w:r w:rsidRPr="00F34575">
        <w:rPr>
          <w:kern w:val="2"/>
          <w:sz w:val="26"/>
          <w:szCs w:val="26"/>
          <w:vertAlign w:val="subscript"/>
        </w:rPr>
        <w:t xml:space="preserve"> –</w:t>
      </w:r>
      <w:r w:rsidRPr="00F34575">
        <w:rPr>
          <w:kern w:val="2"/>
          <w:sz w:val="26"/>
          <w:szCs w:val="26"/>
        </w:rPr>
        <w:t xml:space="preserve">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legrosszabb</w:t>
      </w:r>
      <w:proofErr w:type="spellEnd"/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gramStart"/>
      <w:r w:rsidRPr="00F34575">
        <w:rPr>
          <w:kern w:val="2"/>
          <w:sz w:val="26"/>
          <w:szCs w:val="26"/>
        </w:rPr>
        <w:t>ahol</w:t>
      </w:r>
      <w:proofErr w:type="gramEnd"/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P: 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 xml:space="preserve">a vizsgált ajánlati elem adott szempontra vonatkozó pontszáma 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max</w:t>
      </w:r>
      <w:proofErr w:type="spellEnd"/>
      <w:r w:rsidRPr="00F34575">
        <w:rPr>
          <w:kern w:val="2"/>
          <w:sz w:val="26"/>
          <w:szCs w:val="26"/>
        </w:rPr>
        <w:t xml:space="preserve">: 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pontskála felső határa (10)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min</w:t>
      </w:r>
      <w:proofErr w:type="spellEnd"/>
      <w:r w:rsidRPr="00F34575">
        <w:rPr>
          <w:kern w:val="2"/>
          <w:sz w:val="26"/>
          <w:szCs w:val="26"/>
        </w:rPr>
        <w:t xml:space="preserve">: 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pontskála alsó határa (1)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legjobb</w:t>
      </w:r>
      <w:proofErr w:type="spellEnd"/>
      <w:r w:rsidRPr="00F34575">
        <w:rPr>
          <w:kern w:val="2"/>
          <w:sz w:val="26"/>
          <w:szCs w:val="26"/>
        </w:rPr>
        <w:t>: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 xml:space="preserve">a legelőnyösebb ajánlat tartalmi eleme 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legrosszabb</w:t>
      </w:r>
      <w:proofErr w:type="spellEnd"/>
      <w:r w:rsidRPr="00F34575">
        <w:rPr>
          <w:kern w:val="2"/>
          <w:sz w:val="26"/>
          <w:szCs w:val="26"/>
        </w:rPr>
        <w:t>: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legelőnytelenebb ajánlat tartalmi eleme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vizsgált</w:t>
      </w:r>
      <w:proofErr w:type="spellEnd"/>
      <w:r w:rsidRPr="00F34575">
        <w:rPr>
          <w:kern w:val="2"/>
          <w:sz w:val="26"/>
          <w:szCs w:val="26"/>
        </w:rPr>
        <w:t>: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vizsgált ajánlat tartalmi eleme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b/>
          <w:kern w:val="2"/>
          <w:sz w:val="26"/>
          <w:szCs w:val="26"/>
        </w:rPr>
      </w:pPr>
      <w:r w:rsidRPr="00F34575">
        <w:rPr>
          <w:b/>
          <w:kern w:val="2"/>
          <w:sz w:val="26"/>
          <w:szCs w:val="26"/>
        </w:rPr>
        <w:t>1. Ajánlati ár (forintban meghatározva)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E bírálati részszempont esetében az összehasonlítás alapját az Ajánlattevő által a beszerzés tárgya szerinti </w:t>
      </w:r>
      <w:r w:rsidR="006C481E">
        <w:rPr>
          <w:kern w:val="2"/>
          <w:sz w:val="26"/>
          <w:szCs w:val="26"/>
        </w:rPr>
        <w:t>munka</w:t>
      </w:r>
      <w:r w:rsidRPr="00F34575">
        <w:rPr>
          <w:kern w:val="2"/>
          <w:sz w:val="26"/>
          <w:szCs w:val="26"/>
        </w:rPr>
        <w:t xml:space="preserve"> </w:t>
      </w:r>
      <w:r w:rsidR="006C481E">
        <w:rPr>
          <w:kern w:val="2"/>
          <w:sz w:val="26"/>
          <w:szCs w:val="26"/>
        </w:rPr>
        <w:t>díja</w:t>
      </w:r>
      <w:r w:rsidRPr="00F34575">
        <w:rPr>
          <w:kern w:val="2"/>
          <w:sz w:val="26"/>
          <w:szCs w:val="26"/>
        </w:rPr>
        <w:t xml:space="preserve"> képezi. Az ajánlati árnak valamennyi, a szerződésszerű teljesítéssel kapcsolatban felmerülő költséget magában kell foglalnia.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Az ajánlati árat nettó értékben kifejezve a Felolvasólapon is meg kell adnia az Ajánlattevőnek. Ezen bírálati részszempont esetén a legalacsonyabb nettó árat tartalmazó (legkedvezőbb) ajánlat kapja a maximális bírálati pontszámot.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b/>
          <w:kern w:val="2"/>
          <w:sz w:val="26"/>
          <w:szCs w:val="26"/>
        </w:rPr>
      </w:pPr>
      <w:r w:rsidRPr="00F34575">
        <w:rPr>
          <w:b/>
          <w:kern w:val="2"/>
          <w:sz w:val="26"/>
          <w:szCs w:val="26"/>
        </w:rPr>
        <w:lastRenderedPageBreak/>
        <w:t xml:space="preserve">2. </w:t>
      </w:r>
      <w:r w:rsidR="006C481E">
        <w:rPr>
          <w:b/>
          <w:kern w:val="2"/>
          <w:sz w:val="26"/>
          <w:szCs w:val="26"/>
        </w:rPr>
        <w:t>Referencia</w:t>
      </w:r>
    </w:p>
    <w:p w:rsidR="00F34575" w:rsidRPr="00F34575" w:rsidRDefault="00F34575" w:rsidP="006C481E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E bírálati részszempont esetében az összehasonlítás alapját az Ajánlattevő által megajánlott </w:t>
      </w:r>
      <w:r w:rsidR="006C481E">
        <w:rPr>
          <w:kern w:val="2"/>
          <w:sz w:val="26"/>
          <w:szCs w:val="26"/>
        </w:rPr>
        <w:t>referenciák száma</w:t>
      </w:r>
      <w:r w:rsidRPr="00F34575">
        <w:rPr>
          <w:kern w:val="2"/>
          <w:sz w:val="26"/>
          <w:szCs w:val="26"/>
        </w:rPr>
        <w:t xml:space="preserve"> képezi. </w:t>
      </w:r>
    </w:p>
    <w:p w:rsidR="00F34575" w:rsidRPr="006C481E" w:rsidRDefault="00F34575" w:rsidP="00F34575">
      <w:pPr>
        <w:jc w:val="both"/>
        <w:rPr>
          <w:sz w:val="26"/>
          <w:szCs w:val="26"/>
        </w:rPr>
      </w:pPr>
      <w:r w:rsidRPr="006C481E">
        <w:rPr>
          <w:sz w:val="26"/>
          <w:szCs w:val="26"/>
        </w:rPr>
        <w:t xml:space="preserve">A </w:t>
      </w:r>
      <w:r w:rsidR="006C481E" w:rsidRPr="006C481E">
        <w:rPr>
          <w:sz w:val="26"/>
          <w:szCs w:val="26"/>
        </w:rPr>
        <w:t>referencia</w:t>
      </w:r>
      <w:r w:rsidRPr="006C481E">
        <w:rPr>
          <w:sz w:val="26"/>
          <w:szCs w:val="26"/>
        </w:rPr>
        <w:t xml:space="preserve"> ajánlati elem vonatkozásában azon legkedvezőbb szint, melyre, és az annál még kedvezőbb vállalásra egyaránt 10 pontot ad az Ajánlatkérő: </w:t>
      </w:r>
      <w:r w:rsidR="006C481E" w:rsidRPr="006C481E">
        <w:rPr>
          <w:sz w:val="26"/>
          <w:szCs w:val="26"/>
        </w:rPr>
        <w:t>5.</w:t>
      </w:r>
      <w:r w:rsidRPr="006C481E">
        <w:rPr>
          <w:sz w:val="26"/>
          <w:szCs w:val="26"/>
        </w:rPr>
        <w:t xml:space="preserve"> </w:t>
      </w:r>
    </w:p>
    <w:p w:rsidR="005E1D04" w:rsidRPr="005E1D04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color w:val="FF00FF"/>
          <w:sz w:val="26"/>
        </w:rPr>
      </w:pPr>
    </w:p>
    <w:p w:rsidR="00F1604F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</w:t>
      </w:r>
      <w:r w:rsidR="00F1604F">
        <w:rPr>
          <w:b/>
          <w:sz w:val="26"/>
        </w:rPr>
        <w:t>. Szerződéskötés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4204BE">
        <w:rPr>
          <w:sz w:val="26"/>
        </w:rPr>
        <w:t xml:space="preserve">7. </w:t>
      </w:r>
      <w:r w:rsidR="00BA2682">
        <w:rPr>
          <w:sz w:val="26"/>
        </w:rPr>
        <w:t>augusztus</w:t>
      </w:r>
      <w:r w:rsidR="00995E6F">
        <w:rPr>
          <w:sz w:val="26"/>
        </w:rPr>
        <w:t xml:space="preserve"> </w:t>
      </w:r>
      <w:r w:rsidR="00BA2682" w:rsidRPr="00120264">
        <w:rPr>
          <w:sz w:val="26"/>
        </w:rPr>
        <w:t>1</w:t>
      </w:r>
      <w:r w:rsidR="00995E6F">
        <w:rPr>
          <w:sz w:val="26"/>
        </w:rPr>
        <w:t>8.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E0B65" w:rsidRDefault="006254B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6254BF">
        <w:rPr>
          <w:sz w:val="26"/>
        </w:rPr>
        <w:t xml:space="preserve">A </w:t>
      </w:r>
      <w:r w:rsidRPr="006254BF">
        <w:rPr>
          <w:b/>
          <w:i/>
          <w:sz w:val="26"/>
        </w:rPr>
        <w:t>KÖFOP-1.2.1-VEKOP-16 Csatlakozási konstrukció az önkormányzati ASP rendszer kiterjesztéséhez</w:t>
      </w:r>
      <w:r w:rsidRPr="006254BF">
        <w:rPr>
          <w:sz w:val="26"/>
        </w:rPr>
        <w:t xml:space="preserve"> c. felhívás </w:t>
      </w:r>
      <w:r w:rsidR="003437BF">
        <w:rPr>
          <w:sz w:val="26"/>
        </w:rPr>
        <w:t xml:space="preserve">és az ASP Kormányrendeletben foglalt előírásoknak mindenben megfelelő </w:t>
      </w:r>
      <w:r w:rsidRPr="006254BF">
        <w:rPr>
          <w:sz w:val="26"/>
        </w:rPr>
        <w:t>feladatok ellá</w:t>
      </w:r>
      <w:r>
        <w:rPr>
          <w:sz w:val="26"/>
        </w:rPr>
        <w:t>tása az alábbi témakörökben:</w:t>
      </w:r>
    </w:p>
    <w:p w:rsidR="00122801" w:rsidRDefault="0012280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122801" w:rsidRDefault="00122801" w:rsidP="00122801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22801">
        <w:rPr>
          <w:sz w:val="26"/>
        </w:rPr>
        <w:t>Önkormányzati szakrendszerek</w:t>
      </w:r>
      <w:r w:rsidR="00F8247E" w:rsidRPr="00F8247E">
        <w:rPr>
          <w:sz w:val="26"/>
        </w:rPr>
        <w:t xml:space="preserve"> </w:t>
      </w:r>
      <w:r w:rsidRPr="00122801">
        <w:rPr>
          <w:sz w:val="26"/>
        </w:rPr>
        <w:t>migrációja</w:t>
      </w:r>
      <w:r w:rsidR="002B7928">
        <w:rPr>
          <w:sz w:val="26"/>
        </w:rPr>
        <w:t>.</w:t>
      </w:r>
    </w:p>
    <w:p w:rsidR="00122801" w:rsidRDefault="00122801" w:rsidP="00122801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22801">
        <w:rPr>
          <w:sz w:val="26"/>
        </w:rPr>
        <w:t>Tesztelés, élesítés</w:t>
      </w:r>
      <w:r w:rsidR="002B7928">
        <w:rPr>
          <w:sz w:val="26"/>
        </w:rPr>
        <w:t>.</w:t>
      </w:r>
    </w:p>
    <w:p w:rsidR="001E15F1" w:rsidRDefault="001E15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2801" w:rsidTr="001E15F1">
        <w:tc>
          <w:tcPr>
            <w:tcW w:w="4606" w:type="dxa"/>
          </w:tcPr>
          <w:p w:rsidR="00122801" w:rsidRPr="00120264" w:rsidRDefault="00122801" w:rsidP="00122801">
            <w:pPr>
              <w:rPr>
                <w:b/>
                <w:sz w:val="26"/>
                <w:szCs w:val="26"/>
              </w:rPr>
            </w:pPr>
            <w:r w:rsidRPr="00120264">
              <w:rPr>
                <w:b/>
                <w:sz w:val="26"/>
                <w:szCs w:val="26"/>
              </w:rPr>
              <w:t>Önkormányzati szakrendszerek</w:t>
            </w:r>
          </w:p>
        </w:tc>
        <w:tc>
          <w:tcPr>
            <w:tcW w:w="4606" w:type="dxa"/>
          </w:tcPr>
          <w:p w:rsidR="00122801" w:rsidRPr="00120264" w:rsidRDefault="00122801" w:rsidP="00122801">
            <w:pPr>
              <w:rPr>
                <w:b/>
                <w:sz w:val="26"/>
                <w:szCs w:val="26"/>
              </w:rPr>
            </w:pPr>
            <w:r w:rsidRPr="00120264">
              <w:rPr>
                <w:b/>
                <w:sz w:val="26"/>
                <w:szCs w:val="26"/>
              </w:rPr>
              <w:t>Migrációs cél</w:t>
            </w:r>
          </w:p>
        </w:tc>
      </w:tr>
      <w:tr w:rsidR="001E15F1" w:rsidTr="001E15F1">
        <w:tc>
          <w:tcPr>
            <w:tcW w:w="4606" w:type="dxa"/>
          </w:tcPr>
          <w:p w:rsidR="001E15F1" w:rsidRDefault="001E15F1" w:rsidP="00F1604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ECOSTAT pénzügyi rendszer</w:t>
            </w:r>
          </w:p>
        </w:tc>
        <w:tc>
          <w:tcPr>
            <w:tcW w:w="4606" w:type="dxa"/>
          </w:tcPr>
          <w:p w:rsidR="001E15F1" w:rsidRDefault="00EE0D19" w:rsidP="001E15F1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gazdálkodási rendszer</w:t>
            </w:r>
          </w:p>
          <w:p w:rsidR="00EE0D19" w:rsidRDefault="00EE0D19" w:rsidP="001E15F1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ingatlan kataszter</w:t>
            </w:r>
          </w:p>
        </w:tc>
      </w:tr>
      <w:tr w:rsidR="001E15F1" w:rsidTr="001E15F1">
        <w:tc>
          <w:tcPr>
            <w:tcW w:w="4606" w:type="dxa"/>
          </w:tcPr>
          <w:p w:rsidR="001E15F1" w:rsidRDefault="00EE0D19" w:rsidP="00F1604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GOVSYS iktatórendszer</w:t>
            </w:r>
          </w:p>
        </w:tc>
        <w:tc>
          <w:tcPr>
            <w:tcW w:w="4606" w:type="dxa"/>
          </w:tcPr>
          <w:p w:rsidR="001E15F1" w:rsidRDefault="00EE0D19" w:rsidP="00EE0D19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iratkezelő rendszer</w:t>
            </w:r>
          </w:p>
        </w:tc>
      </w:tr>
      <w:tr w:rsidR="001E15F1" w:rsidTr="001E15F1">
        <w:tc>
          <w:tcPr>
            <w:tcW w:w="4606" w:type="dxa"/>
          </w:tcPr>
          <w:p w:rsidR="001E15F1" w:rsidRDefault="00EE0D19" w:rsidP="00F1604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GOVCENTER nyilvántartások</w:t>
            </w:r>
          </w:p>
        </w:tc>
        <w:tc>
          <w:tcPr>
            <w:tcW w:w="4606" w:type="dxa"/>
          </w:tcPr>
          <w:p w:rsidR="001E15F1" w:rsidRDefault="00EE0D19" w:rsidP="00EE0D19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ipar, kereskedelem</w:t>
            </w:r>
          </w:p>
          <w:p w:rsidR="00EE0D19" w:rsidRDefault="00EE0D19" w:rsidP="00EE0D19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hagyaték</w:t>
            </w:r>
          </w:p>
        </w:tc>
      </w:tr>
    </w:tbl>
    <w:p w:rsidR="001E15F1" w:rsidRPr="006254BF" w:rsidRDefault="001E15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84C21" w:rsidRPr="00BA2682" w:rsidRDefault="00D84C21" w:rsidP="00D84C21">
      <w:pPr>
        <w:jc w:val="both"/>
        <w:rPr>
          <w:sz w:val="26"/>
          <w:szCs w:val="26"/>
        </w:rPr>
      </w:pPr>
      <w:r w:rsidRPr="00BA2682">
        <w:rPr>
          <w:sz w:val="26"/>
          <w:szCs w:val="26"/>
        </w:rPr>
        <w:t>Önkormányzati szakrendszerek adatminőségének javítása, migrációja</w:t>
      </w:r>
    </w:p>
    <w:p w:rsidR="00D84C21" w:rsidRPr="00BA2682" w:rsidRDefault="00D84C21" w:rsidP="00D84C21">
      <w:pPr>
        <w:spacing w:line="120" w:lineRule="exact"/>
        <w:jc w:val="both"/>
        <w:rPr>
          <w:sz w:val="26"/>
          <w:szCs w:val="26"/>
        </w:rPr>
      </w:pPr>
    </w:p>
    <w:p w:rsidR="00D84C21" w:rsidRPr="00120264" w:rsidRDefault="00D84C21" w:rsidP="00120264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120264">
        <w:rPr>
          <w:sz w:val="26"/>
          <w:szCs w:val="26"/>
        </w:rPr>
        <w:t>rendszer testre</w:t>
      </w:r>
      <w:r w:rsidR="00120264">
        <w:rPr>
          <w:sz w:val="26"/>
          <w:szCs w:val="26"/>
        </w:rPr>
        <w:t xml:space="preserve"> </w:t>
      </w:r>
      <w:r w:rsidRPr="00120264">
        <w:rPr>
          <w:sz w:val="26"/>
          <w:szCs w:val="26"/>
        </w:rPr>
        <w:t>szabás</w:t>
      </w:r>
      <w:r w:rsidR="00120264">
        <w:rPr>
          <w:sz w:val="26"/>
          <w:szCs w:val="26"/>
        </w:rPr>
        <w:t>a</w:t>
      </w:r>
      <w:r w:rsidRPr="00120264">
        <w:rPr>
          <w:sz w:val="26"/>
          <w:szCs w:val="26"/>
        </w:rPr>
        <w:t>, paraméterezés: Az Ajánlattevőnek az Ajánlatkérő utasításainak megfelelően a csatlakozási folyamat során a számára létrehozott felületen meg kell határoznia a hozzáférésre jogosultak körét, meg kell határoznia a rendszer indításához szükséges indító beállításokat, azokat az egyedi, az adott önkormányzat működésére jellemző paramétereket, amelyek szükségesek a rendszer működéséhez.</w:t>
      </w:r>
    </w:p>
    <w:p w:rsidR="00D84C21" w:rsidRPr="00BA2682" w:rsidRDefault="00D84C21" w:rsidP="00D84C21">
      <w:pPr>
        <w:spacing w:line="120" w:lineRule="exact"/>
        <w:jc w:val="both"/>
        <w:rPr>
          <w:sz w:val="26"/>
          <w:szCs w:val="26"/>
        </w:rPr>
      </w:pPr>
    </w:p>
    <w:p w:rsidR="00120264" w:rsidRPr="00120264" w:rsidRDefault="00D84C21" w:rsidP="0012026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120264">
        <w:rPr>
          <w:sz w:val="26"/>
          <w:szCs w:val="26"/>
        </w:rPr>
        <w:t>adatmigráció: A csatlakozási folyamat során az Ajánlattevőnek az Ajánlatkérő utasításai szerint a</w:t>
      </w:r>
      <w:r w:rsidR="00005EE8">
        <w:rPr>
          <w:sz w:val="26"/>
          <w:szCs w:val="26"/>
        </w:rPr>
        <w:t>z Ajánlatkérő korábbi nyilvántartásai</w:t>
      </w:r>
      <w:r w:rsidRPr="00120264">
        <w:rPr>
          <w:sz w:val="26"/>
          <w:szCs w:val="26"/>
        </w:rPr>
        <w:t xml:space="preserve">ból az ASP Korm. rendeletnek megfelelően </w:t>
      </w:r>
      <w:proofErr w:type="spellStart"/>
      <w:r w:rsidRPr="00120264">
        <w:rPr>
          <w:sz w:val="26"/>
          <w:szCs w:val="26"/>
        </w:rPr>
        <w:t>migrálni</w:t>
      </w:r>
      <w:r w:rsidR="00005EE8">
        <w:rPr>
          <w:sz w:val="26"/>
          <w:szCs w:val="26"/>
        </w:rPr>
        <w:t>a</w:t>
      </w:r>
      <w:proofErr w:type="spellEnd"/>
      <w:r w:rsidR="00005EE8">
        <w:rPr>
          <w:sz w:val="26"/>
          <w:szCs w:val="26"/>
        </w:rPr>
        <w:t xml:space="preserve"> kell az adatoka</w:t>
      </w:r>
      <w:r w:rsidRPr="00120264">
        <w:rPr>
          <w:sz w:val="26"/>
          <w:szCs w:val="26"/>
        </w:rPr>
        <w:t>t. Az ASP szolgáltató által meghatározott módszertan alapján, központi támogatás segítségével szükséges az adatok betöltését elvégezni az informatikai rendszerbe, a betöltés során keletkező esetleges hibákat ki kell javítani. Migrációs jegyzőkönyv elkészítése (támogatása).</w:t>
      </w:r>
    </w:p>
    <w:p w:rsidR="00120264" w:rsidRPr="00120264" w:rsidRDefault="00120264" w:rsidP="00120264">
      <w:pPr>
        <w:pStyle w:val="Listaszerbekezds"/>
        <w:rPr>
          <w:sz w:val="26"/>
          <w:szCs w:val="26"/>
        </w:rPr>
      </w:pPr>
    </w:p>
    <w:p w:rsidR="00D84C21" w:rsidRPr="00120264" w:rsidRDefault="00120264" w:rsidP="0012026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120264">
        <w:rPr>
          <w:sz w:val="26"/>
          <w:szCs w:val="26"/>
        </w:rPr>
        <w:t>a</w:t>
      </w:r>
      <w:r w:rsidR="00D84C21" w:rsidRPr="00120264">
        <w:rPr>
          <w:sz w:val="26"/>
          <w:szCs w:val="26"/>
        </w:rPr>
        <w:t>z Ajánlattevő feladata a kapcsolódó dokumentációk, tesztforgatókönyv, tesztelési jegyzőkönyv kidolgozása, a tesztelés, élesítés támogatása.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D84C21" w:rsidRDefault="00D84C2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809E1" w:rsidRDefault="00DA35C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DA35C8">
        <w:rPr>
          <w:sz w:val="26"/>
        </w:rPr>
        <w:t xml:space="preserve">Az Ajánlattevőnek igazolnia kell, hogy </w:t>
      </w:r>
      <w:r>
        <w:rPr>
          <w:sz w:val="26"/>
        </w:rPr>
        <w:t xml:space="preserve">legalább 3, </w:t>
      </w:r>
      <w:r w:rsidRPr="00DA35C8">
        <w:rPr>
          <w:sz w:val="26"/>
        </w:rPr>
        <w:t>az ajánlattétel tárgyával megegyező</w:t>
      </w:r>
      <w:r>
        <w:rPr>
          <w:sz w:val="26"/>
        </w:rPr>
        <w:t xml:space="preserve"> referenciamunkával rendelkezik.</w:t>
      </w:r>
      <w:r w:rsidR="004809E1">
        <w:rPr>
          <w:sz w:val="26"/>
        </w:rPr>
        <w:t xml:space="preserve"> </w:t>
      </w:r>
    </w:p>
    <w:p w:rsidR="00DA35C8" w:rsidRDefault="004809E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Az igazolás módja a referenciahelyek megjelölése, felsorolása.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6</w:t>
      </w:r>
      <w:r>
        <w:rPr>
          <w:b/>
          <w:sz w:val="26"/>
        </w:rPr>
        <w:t xml:space="preserve">. Hiánypótlás és helyszíni megtekintés lehetősége: </w:t>
      </w:r>
      <w:r w:rsidR="002B7928">
        <w:rPr>
          <w:i/>
          <w:sz w:val="26"/>
        </w:rPr>
        <w:t>nem biztosított.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5E1D04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   Kiegészítő tájékoztatás kérés határideje: </w:t>
      </w:r>
      <w:r>
        <w:rPr>
          <w:sz w:val="26"/>
        </w:rPr>
        <w:t>201</w:t>
      </w:r>
      <w:r w:rsidR="00BA2682">
        <w:rPr>
          <w:sz w:val="26"/>
        </w:rPr>
        <w:t>7</w:t>
      </w:r>
      <w:r w:rsidR="00005EE8">
        <w:rPr>
          <w:sz w:val="26"/>
        </w:rPr>
        <w:t>.</w:t>
      </w:r>
      <w:r>
        <w:rPr>
          <w:sz w:val="26"/>
        </w:rPr>
        <w:t xml:space="preserve"> </w:t>
      </w:r>
      <w:r w:rsidR="00BA2682">
        <w:rPr>
          <w:sz w:val="26"/>
        </w:rPr>
        <w:t>augusztus</w:t>
      </w:r>
      <w:r>
        <w:rPr>
          <w:sz w:val="26"/>
        </w:rPr>
        <w:t xml:space="preserve"> </w:t>
      </w:r>
      <w:r w:rsidR="00005EE8">
        <w:rPr>
          <w:sz w:val="26"/>
        </w:rPr>
        <w:t>3</w:t>
      </w:r>
      <w:proofErr w:type="gramStart"/>
      <w:r w:rsidR="00005EE8">
        <w:rPr>
          <w:sz w:val="26"/>
        </w:rPr>
        <w:t>.,</w:t>
      </w:r>
      <w:proofErr w:type="gramEnd"/>
      <w:r w:rsidR="00005EE8">
        <w:rPr>
          <w:sz w:val="26"/>
        </w:rPr>
        <w:t xml:space="preserve"> 9</w:t>
      </w:r>
      <w:r w:rsidR="00005EE8" w:rsidRPr="00005EE8">
        <w:rPr>
          <w:sz w:val="26"/>
          <w:u w:val="single"/>
          <w:vertAlign w:val="superscript"/>
        </w:rPr>
        <w:t>00</w:t>
      </w:r>
      <w:r w:rsidR="00005EE8"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1D04">
        <w:rPr>
          <w:sz w:val="26"/>
          <w:szCs w:val="26"/>
        </w:rPr>
        <w:t>8</w:t>
      </w:r>
      <w:r>
        <w:rPr>
          <w:sz w:val="26"/>
          <w:szCs w:val="26"/>
        </w:rPr>
        <w:t>.1 Az ajánlattétel megtört</w:t>
      </w:r>
      <w:r w:rsidR="00005EE8">
        <w:rPr>
          <w:sz w:val="26"/>
          <w:szCs w:val="26"/>
        </w:rPr>
        <w:t xml:space="preserve">éntével Ajánlattevő hozzájárul </w:t>
      </w:r>
      <w:r>
        <w:rPr>
          <w:sz w:val="26"/>
          <w:szCs w:val="26"/>
        </w:rPr>
        <w:t>neve,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5E1D04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>) a megkötésére, amelyek esetén a fentebb felsorolt szervezetek fizetési kötelezettsége a</w:t>
      </w:r>
      <w:proofErr w:type="gramEnd"/>
      <w:r w:rsidRPr="00BC3CA2">
        <w:rPr>
          <w:szCs w:val="26"/>
        </w:rPr>
        <w:t xml:space="preserve"> </w:t>
      </w:r>
      <w:proofErr w:type="gramStart"/>
      <w:r>
        <w:rPr>
          <w:szCs w:val="26"/>
        </w:rPr>
        <w:t>nettó</w:t>
      </w:r>
      <w:proofErr w:type="gramEnd"/>
      <w:r>
        <w:rPr>
          <w:szCs w:val="26"/>
        </w:rPr>
        <w:t xml:space="preserve"> 300</w:t>
      </w:r>
      <w:r w:rsidRPr="00BC3CA2">
        <w:rPr>
          <w:szCs w:val="26"/>
        </w:rPr>
        <w:t xml:space="preserve"> E Ft összeget eléri, vagy azt meghaladja, 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- A szerződés mellékletét képezi </w:t>
      </w:r>
      <w:r w:rsidR="00005EE8">
        <w:rPr>
          <w:szCs w:val="26"/>
        </w:rPr>
        <w:t>a 2</w:t>
      </w:r>
      <w:r>
        <w:rPr>
          <w:szCs w:val="26"/>
        </w:rPr>
        <w:t>.</w:t>
      </w:r>
      <w:r w:rsidR="00005EE8">
        <w:rPr>
          <w:szCs w:val="26"/>
        </w:rPr>
        <w:t xml:space="preserve"> melléklet</w:t>
      </w:r>
      <w:r w:rsidRPr="00BC3CA2">
        <w:rPr>
          <w:szCs w:val="26"/>
        </w:rPr>
        <w:t xml:space="preserve">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ajánlattevőkn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5E1D04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 xml:space="preserve">átlátható szervezetnek </w:t>
      </w:r>
      <w:r w:rsidRPr="00907EA2">
        <w:rPr>
          <w:sz w:val="26"/>
          <w:szCs w:val="26"/>
        </w:rPr>
        <w:lastRenderedPageBreak/>
        <w:t>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</w:t>
      </w:r>
      <w:r w:rsidR="007847EE">
        <w:rPr>
          <w:sz w:val="26"/>
        </w:rPr>
        <w:t>ét és mindennemű egyéb kiadást.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Tiszaújváros, </w:t>
      </w:r>
      <w:r w:rsidR="00005EE8">
        <w:rPr>
          <w:sz w:val="26"/>
        </w:rPr>
        <w:t>2017. július 21.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907EA2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 w:rsidR="002305D1">
        <w:rPr>
          <w:b/>
          <w:sz w:val="26"/>
        </w:rPr>
        <w:t>Bráz</w:t>
      </w:r>
      <w:proofErr w:type="spellEnd"/>
      <w:r w:rsidR="002305D1">
        <w:rPr>
          <w:b/>
          <w:sz w:val="26"/>
        </w:rPr>
        <w:t xml:space="preserve"> György</w:t>
      </w:r>
    </w:p>
    <w:p w:rsidR="002305D1" w:rsidRDefault="002305D1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polgármester</w:t>
      </w:r>
    </w:p>
    <w:p w:rsidR="006C481E" w:rsidRDefault="006C481E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6C481E" w:rsidRDefault="006C481E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93143" w:rsidRDefault="00993143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93143" w:rsidRDefault="00993143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005EE8" w:rsidRPr="00907EA2" w:rsidRDefault="00005EE8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Ajánlattételi felolvasólap</w:t>
      </w:r>
    </w:p>
    <w:sectPr w:rsidR="00005EE8" w:rsidRPr="00907EA2" w:rsidSect="003A340C">
      <w:headerReference w:type="default" r:id="rId9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D3" w:rsidRDefault="002531D3" w:rsidP="001A0A5A">
      <w:r>
        <w:separator/>
      </w:r>
    </w:p>
  </w:endnote>
  <w:endnote w:type="continuationSeparator" w:id="0">
    <w:p w:rsidR="002531D3" w:rsidRDefault="002531D3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D3" w:rsidRDefault="002531D3" w:rsidP="001A0A5A">
      <w:r>
        <w:separator/>
      </w:r>
    </w:p>
  </w:footnote>
  <w:footnote w:type="continuationSeparator" w:id="0">
    <w:p w:rsidR="002531D3" w:rsidRDefault="002531D3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5A" w:rsidRDefault="001A0A5A" w:rsidP="00BA2682">
    <w:pPr>
      <w:pStyle w:val="lfej"/>
    </w:pPr>
  </w:p>
  <w:p w:rsidR="00BA2682" w:rsidRPr="00BA2682" w:rsidRDefault="00BA2682" w:rsidP="00BA26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66"/>
    <w:multiLevelType w:val="hybridMultilevel"/>
    <w:tmpl w:val="0C26779A"/>
    <w:lvl w:ilvl="0" w:tplc="485A367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6545"/>
    <w:multiLevelType w:val="hybridMultilevel"/>
    <w:tmpl w:val="B0AC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D82ED0"/>
    <w:multiLevelType w:val="hybridMultilevel"/>
    <w:tmpl w:val="1DFE0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05165"/>
    <w:rsid w:val="00005EE8"/>
    <w:rsid w:val="00011EEA"/>
    <w:rsid w:val="00042625"/>
    <w:rsid w:val="000834A0"/>
    <w:rsid w:val="00110A47"/>
    <w:rsid w:val="00110E15"/>
    <w:rsid w:val="00120264"/>
    <w:rsid w:val="00122801"/>
    <w:rsid w:val="001343E6"/>
    <w:rsid w:val="00184F9A"/>
    <w:rsid w:val="001A0A5A"/>
    <w:rsid w:val="001E15F1"/>
    <w:rsid w:val="001F3137"/>
    <w:rsid w:val="002009E5"/>
    <w:rsid w:val="00226245"/>
    <w:rsid w:val="002305D1"/>
    <w:rsid w:val="002531D3"/>
    <w:rsid w:val="00266A7B"/>
    <w:rsid w:val="002950F1"/>
    <w:rsid w:val="002A0DCA"/>
    <w:rsid w:val="002B7928"/>
    <w:rsid w:val="002E0940"/>
    <w:rsid w:val="003437BF"/>
    <w:rsid w:val="003A340C"/>
    <w:rsid w:val="003E0B65"/>
    <w:rsid w:val="00405D03"/>
    <w:rsid w:val="004204BE"/>
    <w:rsid w:val="00427093"/>
    <w:rsid w:val="00436E1A"/>
    <w:rsid w:val="0044320E"/>
    <w:rsid w:val="004809E1"/>
    <w:rsid w:val="00487F57"/>
    <w:rsid w:val="004A60F6"/>
    <w:rsid w:val="004D0E02"/>
    <w:rsid w:val="00566B09"/>
    <w:rsid w:val="005739B9"/>
    <w:rsid w:val="005E1D04"/>
    <w:rsid w:val="00612470"/>
    <w:rsid w:val="006254BF"/>
    <w:rsid w:val="00690C99"/>
    <w:rsid w:val="006C481E"/>
    <w:rsid w:val="006D6A87"/>
    <w:rsid w:val="00736451"/>
    <w:rsid w:val="0076156B"/>
    <w:rsid w:val="007847EE"/>
    <w:rsid w:val="007D2BB9"/>
    <w:rsid w:val="007E0ECD"/>
    <w:rsid w:val="00871E3E"/>
    <w:rsid w:val="00907EA2"/>
    <w:rsid w:val="00974093"/>
    <w:rsid w:val="00993143"/>
    <w:rsid w:val="00995E6F"/>
    <w:rsid w:val="00A56690"/>
    <w:rsid w:val="00A65BE9"/>
    <w:rsid w:val="00B37833"/>
    <w:rsid w:val="00B55ACE"/>
    <w:rsid w:val="00B57A12"/>
    <w:rsid w:val="00B871BD"/>
    <w:rsid w:val="00B90CF6"/>
    <w:rsid w:val="00BA2682"/>
    <w:rsid w:val="00BD3DE4"/>
    <w:rsid w:val="00BE7A90"/>
    <w:rsid w:val="00BF5D5A"/>
    <w:rsid w:val="00C271E6"/>
    <w:rsid w:val="00C31FD4"/>
    <w:rsid w:val="00C944B0"/>
    <w:rsid w:val="00D07523"/>
    <w:rsid w:val="00D84C21"/>
    <w:rsid w:val="00DA2F09"/>
    <w:rsid w:val="00DA35C8"/>
    <w:rsid w:val="00E7639A"/>
    <w:rsid w:val="00EC6FEB"/>
    <w:rsid w:val="00EE0D19"/>
    <w:rsid w:val="00EE46D8"/>
    <w:rsid w:val="00F1604F"/>
    <w:rsid w:val="00F23DC0"/>
    <w:rsid w:val="00F34575"/>
    <w:rsid w:val="00F463CD"/>
    <w:rsid w:val="00F8247E"/>
    <w:rsid w:val="00F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D1CC-C892-4ACC-BFB1-A1BF6EB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1923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4</cp:revision>
  <cp:lastPrinted>2017-07-21T08:42:00Z</cp:lastPrinted>
  <dcterms:created xsi:type="dcterms:W3CDTF">2017-07-21T08:41:00Z</dcterms:created>
  <dcterms:modified xsi:type="dcterms:W3CDTF">2017-07-21T08:56:00Z</dcterms:modified>
</cp:coreProperties>
</file>